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  <w:t>全国一、二级注册建筑师资格考试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  <w:t>报考专业说明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注册建筑师条例实施细则》（中华人民共和国建设部令第167号）、《普通高等学校本科专业目录》（1998年版、2012年版、2020年版）、《普通高等学校高职高专教育指导性专业目录》（2004年版）、《中等职业学校专业目录》（2010年版）等相关规定，关于全国一、二级注册建筑师资格考试报考专业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一、报考专业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（一）一级注册建筑师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“建筑学”：包括建筑学、建筑设计技术（原建筑设计）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“相近专业”：包括城乡规划（原城市规划）、土木工程（原建筑工程、原工业与民用建筑工程）、风景园林、环境设计（原环境艺术、原环境艺术设计）、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历史建筑保护工程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（二）二级注册建筑师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“建筑学”：包括建筑学、建筑设计技术（原建筑设计）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“相近专业”：本科及以上包括城乡规划（原城市规划）、土木工程（原建筑工程、原工业与民用建筑工程）、风景园林、环境设计（原环境艺术、原环境艺术设计）、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历史建筑保护工程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；专科包括建筑装饰工程技术（原建筑装饰技术）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、中国古建筑工程技术、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艺术设计（原环境艺术）、园林工程技术（原风景园林）、城镇规划（原城乡规划）、建筑工程技术（原房屋建筑工程）；中专包括建筑工程施工（原工业与民用建筑）、建筑装饰、古建筑修缮与仿建（原古建筑营造与修缮）、城镇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二、由于教育部专业名称调整及高校自设专业的影响，难以列举所有专业名称。专业名称不在本列举范围内的，可由报考人员提供学校专业课程设置、培养计划等材料，按下列情况审核处理：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主干课程设置及学时与建筑学专业一致，可参照建筑学专业相关规定报考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多数主干课程设置及学时与建筑学专业一致，可参照相近专业相关规定报考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主干课程设置及学时与相近专业基本一致，可参照相近专业相关规定报考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55EC6"/>
    <w:rsid w:val="25D5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2026-03-04T03:25:00Z</dcterms:created>
  <dc:creator>邹潇</dc:creator>
  <cp:lastModifiedBy>邹潇</cp:lastModifiedBy>
  <dcterms:modified xsi:type="dcterms:W3CDTF">2026-03-04T03:26:29Z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