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2E" w:rsidRDefault="00F9092E" w:rsidP="00F9092E">
      <w:pPr>
        <w:snapToGrid w:val="0"/>
        <w:spacing w:line="530" w:lineRule="exact"/>
        <w:rPr>
          <w:rFonts w:eastAsia="方正仿宋_GBK" w:hint="eastAsia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：</w:t>
      </w:r>
    </w:p>
    <w:p w:rsidR="00F9092E" w:rsidRDefault="00F9092E" w:rsidP="00F9092E">
      <w:pPr>
        <w:snapToGrid w:val="0"/>
        <w:spacing w:line="530" w:lineRule="exact"/>
        <w:rPr>
          <w:rFonts w:eastAsia="方正仿宋_GBK"/>
          <w:sz w:val="32"/>
          <w:szCs w:val="32"/>
        </w:rPr>
      </w:pPr>
    </w:p>
    <w:p w:rsidR="00F9092E" w:rsidRDefault="00F9092E" w:rsidP="00F9092E">
      <w:pPr>
        <w:snapToGrid w:val="0"/>
        <w:spacing w:line="53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全国一、二级注册建筑师资格考试报考专业说明</w:t>
      </w:r>
    </w:p>
    <w:p w:rsidR="00F9092E" w:rsidRDefault="00F9092E" w:rsidP="00F9092E">
      <w:pPr>
        <w:snapToGrid w:val="0"/>
        <w:spacing w:line="530" w:lineRule="exact"/>
        <w:rPr>
          <w:rFonts w:eastAsia="方正仿宋_GBK" w:hint="eastAsia"/>
          <w:sz w:val="32"/>
          <w:szCs w:val="32"/>
        </w:rPr>
      </w:pPr>
    </w:p>
    <w:p w:rsidR="00F9092E" w:rsidRDefault="00F9092E" w:rsidP="00F9092E">
      <w:pPr>
        <w:snapToGrid w:val="0"/>
        <w:spacing w:line="530" w:lineRule="exact"/>
        <w:ind w:firstLineChars="265" w:firstLine="848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根据《中华人民共和国注册建筑师条例实施细则》（中华人民共和国建设部令第</w:t>
      </w:r>
      <w:r>
        <w:rPr>
          <w:rFonts w:eastAsia="方正仿宋_GBK" w:hint="eastAsia"/>
          <w:sz w:val="32"/>
          <w:szCs w:val="32"/>
        </w:rPr>
        <w:t>167</w:t>
      </w:r>
      <w:r>
        <w:rPr>
          <w:rFonts w:eastAsia="方正仿宋_GBK" w:hint="eastAsia"/>
          <w:sz w:val="32"/>
          <w:szCs w:val="32"/>
        </w:rPr>
        <w:t>号）、《普通高等学校本科专业目录》（</w:t>
      </w:r>
      <w:r>
        <w:rPr>
          <w:rFonts w:eastAsia="方正仿宋_GBK" w:hint="eastAsia"/>
          <w:sz w:val="32"/>
          <w:szCs w:val="32"/>
        </w:rPr>
        <w:t>1998</w:t>
      </w:r>
      <w:r>
        <w:rPr>
          <w:rFonts w:eastAsia="方正仿宋_GBK" w:hint="eastAsia"/>
          <w:sz w:val="32"/>
          <w:szCs w:val="32"/>
        </w:rPr>
        <w:t>年版、</w:t>
      </w:r>
      <w:r>
        <w:rPr>
          <w:rFonts w:eastAsia="方正仿宋_GBK" w:hint="eastAsia"/>
          <w:sz w:val="32"/>
          <w:szCs w:val="32"/>
        </w:rPr>
        <w:t>2012</w:t>
      </w:r>
      <w:r>
        <w:rPr>
          <w:rFonts w:eastAsia="方正仿宋_GBK" w:hint="eastAsia"/>
          <w:sz w:val="32"/>
          <w:szCs w:val="32"/>
        </w:rPr>
        <w:t>年版）、《普通高等学校高职高专教育指导性专业目录》（</w:t>
      </w:r>
      <w:r>
        <w:rPr>
          <w:rFonts w:eastAsia="方正仿宋_GBK" w:hint="eastAsia"/>
          <w:sz w:val="32"/>
          <w:szCs w:val="32"/>
        </w:rPr>
        <w:t>2004</w:t>
      </w:r>
      <w:r>
        <w:rPr>
          <w:rFonts w:eastAsia="方正仿宋_GBK" w:hint="eastAsia"/>
          <w:sz w:val="32"/>
          <w:szCs w:val="32"/>
        </w:rPr>
        <w:t>年版）、《中等职业学校专业目录》（</w:t>
      </w:r>
      <w:r>
        <w:rPr>
          <w:rFonts w:eastAsia="方正仿宋_GBK" w:hint="eastAsia"/>
          <w:sz w:val="32"/>
          <w:szCs w:val="32"/>
        </w:rPr>
        <w:t>2010</w:t>
      </w:r>
      <w:r>
        <w:rPr>
          <w:rFonts w:eastAsia="方正仿宋_GBK" w:hint="eastAsia"/>
          <w:sz w:val="32"/>
          <w:szCs w:val="32"/>
        </w:rPr>
        <w:t>年版）等相关规定，说明如下</w:t>
      </w:r>
      <w:r>
        <w:rPr>
          <w:rFonts w:eastAsia="方正仿宋_GBK" w:hint="eastAsia"/>
          <w:sz w:val="32"/>
          <w:szCs w:val="32"/>
        </w:rPr>
        <w:t xml:space="preserve"> </w:t>
      </w:r>
      <w:r>
        <w:rPr>
          <w:rFonts w:eastAsia="方正仿宋_GBK" w:hint="eastAsia"/>
          <w:sz w:val="32"/>
          <w:szCs w:val="32"/>
        </w:rPr>
        <w:t>：</w:t>
      </w:r>
    </w:p>
    <w:p w:rsidR="00F9092E" w:rsidRDefault="00F9092E" w:rsidP="00F9092E">
      <w:pPr>
        <w:snapToGrid w:val="0"/>
        <w:spacing w:line="530" w:lineRule="exact"/>
        <w:ind w:firstLineChars="265" w:firstLine="848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一、报考专业</w:t>
      </w:r>
    </w:p>
    <w:p w:rsidR="00F9092E" w:rsidRDefault="00F9092E" w:rsidP="00F9092E">
      <w:pPr>
        <w:snapToGrid w:val="0"/>
        <w:spacing w:line="530" w:lineRule="exact"/>
        <w:ind w:firstLineChars="265" w:firstLine="848"/>
        <w:rPr>
          <w:rFonts w:ascii="方正楷体_GBK" w:eastAsia="方正楷体_GBK" w:hint="eastAsia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（一）一级注册建筑师</w:t>
      </w:r>
    </w:p>
    <w:p w:rsidR="00F9092E" w:rsidRDefault="00F9092E" w:rsidP="00F9092E">
      <w:pPr>
        <w:snapToGrid w:val="0"/>
        <w:spacing w:line="530" w:lineRule="exact"/>
        <w:ind w:firstLineChars="265" w:firstLine="848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“建筑学”：包括建筑学、建筑设计技术（原建筑设计）</w:t>
      </w:r>
    </w:p>
    <w:p w:rsidR="00F9092E" w:rsidRDefault="00F9092E" w:rsidP="00F9092E">
      <w:pPr>
        <w:snapToGrid w:val="0"/>
        <w:spacing w:line="530" w:lineRule="exact"/>
        <w:ind w:firstLineChars="265" w:firstLine="848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“相近专业”：包括城乡规划（原城市规划）、土木工程（原建筑工程、原工业与民用建筑工程）、风景园林、环境设计（原环境艺术、原环境艺术设计）</w:t>
      </w:r>
    </w:p>
    <w:p w:rsidR="00F9092E" w:rsidRDefault="00F9092E" w:rsidP="00F9092E">
      <w:pPr>
        <w:snapToGrid w:val="0"/>
        <w:spacing w:line="530" w:lineRule="exact"/>
        <w:ind w:firstLineChars="265" w:firstLine="848"/>
        <w:rPr>
          <w:rFonts w:ascii="方正楷体_GBK" w:eastAsia="方正楷体_GBK" w:hint="eastAsia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（二）二级注册建筑师</w:t>
      </w:r>
    </w:p>
    <w:p w:rsidR="00F9092E" w:rsidRDefault="00F9092E" w:rsidP="00F9092E">
      <w:pPr>
        <w:snapToGrid w:val="0"/>
        <w:spacing w:line="530" w:lineRule="exact"/>
        <w:ind w:firstLineChars="265" w:firstLine="848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“建筑学”：包括建筑学、建筑设计技术（原建筑设计）</w:t>
      </w:r>
    </w:p>
    <w:p w:rsidR="00F9092E" w:rsidRDefault="00F9092E" w:rsidP="00F9092E">
      <w:pPr>
        <w:snapToGrid w:val="0"/>
        <w:spacing w:line="530" w:lineRule="exact"/>
        <w:ind w:firstLineChars="265" w:firstLine="848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“相近专业”：本科及以上包括城乡规划（原城市规划）、土木工程（原建筑工程、原工业与民用建筑工程）、风景园林、环境设计（原环境艺术、原环境艺术设计）。专科包括城镇规划（原城乡规划）、建筑工程技术（原房屋建筑工程）、园林工程技术（原风景园林）、建筑装饰工程技术（原建筑装饰技术）、环境艺术设计（原环境艺术）；中专包括建筑装饰、建筑工程施工（原工业与民用建筑）、城镇建设、古建筑修缮与仿建（原古建筑营造与修缮）</w:t>
      </w:r>
    </w:p>
    <w:p w:rsidR="00F9092E" w:rsidRDefault="00F9092E" w:rsidP="00F9092E">
      <w:pPr>
        <w:snapToGrid w:val="0"/>
        <w:spacing w:line="530" w:lineRule="exact"/>
        <w:ind w:firstLineChars="265" w:firstLine="848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二、由于教育部专业名称调整及高校自设专业的影响，难以列举所有专业名称。专业名称不在本列举范围内的，可由报考人员提供学校专业课程设置、培养计划等材料，按下列情况审核处理：</w:t>
      </w:r>
    </w:p>
    <w:p w:rsidR="00F9092E" w:rsidRDefault="00F9092E" w:rsidP="00F9092E">
      <w:pPr>
        <w:snapToGrid w:val="0"/>
        <w:spacing w:line="530" w:lineRule="exact"/>
        <w:ind w:firstLineChars="265" w:firstLine="848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（一）主干课程设置及学时与建筑学专业一致，可参照建筑学专业相关规定报考；</w:t>
      </w:r>
    </w:p>
    <w:p w:rsidR="00F9092E" w:rsidRDefault="00F9092E" w:rsidP="00F9092E">
      <w:pPr>
        <w:snapToGrid w:val="0"/>
        <w:spacing w:line="530" w:lineRule="exact"/>
        <w:ind w:firstLineChars="265" w:firstLine="848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（二）多数主干课程设置及学时与建筑学专业一致，可参照相近专业相关规定报考；</w:t>
      </w:r>
    </w:p>
    <w:p w:rsidR="00F9092E" w:rsidRDefault="00F9092E" w:rsidP="00F9092E">
      <w:pPr>
        <w:snapToGrid w:val="0"/>
        <w:spacing w:line="530" w:lineRule="exact"/>
        <w:ind w:firstLineChars="265" w:firstLine="848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（三）主干课程设置及学时与相近专业基本一致，可参照相近专业相关规定报考。</w:t>
      </w:r>
    </w:p>
    <w:p w:rsidR="000030A7" w:rsidRPr="00F9092E" w:rsidRDefault="00F9092E"/>
    <w:sectPr w:rsidR="000030A7" w:rsidRPr="00F9092E" w:rsidSect="00751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092E"/>
    <w:rsid w:val="003243B5"/>
    <w:rsid w:val="00751659"/>
    <w:rsid w:val="00BD752A"/>
    <w:rsid w:val="00F9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cqkszx</dc:creator>
  <cp:lastModifiedBy>cqkszx</cp:lastModifiedBy>
  <cp:revision>1</cp:revision>
  <dcterms:created xsi:type="dcterms:W3CDTF">2020-08-04T07:37:00Z</dcterms:created>
  <dcterms:modified xsi:type="dcterms:W3CDTF">2020-08-04T07:37:00Z</dcterms:modified>
</cp:coreProperties>
</file>